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6D9" w:rsidRDefault="00A756D9" w:rsidP="000C5335">
      <w:pPr>
        <w:spacing w:after="0" w:line="480" w:lineRule="auto"/>
        <w:contextualSpacing/>
        <w:jc w:val="center"/>
        <w:rPr>
          <w:rFonts w:ascii="Times New Roman" w:hAnsi="Times New Roman" w:cs="Times New Roman"/>
          <w:sz w:val="24"/>
          <w:szCs w:val="24"/>
        </w:rPr>
      </w:pPr>
    </w:p>
    <w:p w:rsidR="00A756D9" w:rsidRDefault="00A756D9" w:rsidP="000C5335">
      <w:pPr>
        <w:spacing w:after="0" w:line="480" w:lineRule="auto"/>
        <w:contextualSpacing/>
        <w:jc w:val="center"/>
        <w:rPr>
          <w:rFonts w:ascii="Times New Roman" w:hAnsi="Times New Roman" w:cs="Times New Roman"/>
          <w:sz w:val="24"/>
          <w:szCs w:val="24"/>
        </w:rPr>
      </w:pPr>
    </w:p>
    <w:p w:rsidR="00A756D9" w:rsidRDefault="00A756D9" w:rsidP="000C5335">
      <w:pPr>
        <w:spacing w:after="0" w:line="480" w:lineRule="auto"/>
        <w:contextualSpacing/>
        <w:jc w:val="center"/>
        <w:rPr>
          <w:rFonts w:ascii="Times New Roman" w:hAnsi="Times New Roman" w:cs="Times New Roman"/>
          <w:sz w:val="24"/>
          <w:szCs w:val="24"/>
        </w:rPr>
      </w:pPr>
    </w:p>
    <w:p w:rsidR="00A756D9" w:rsidRDefault="00A756D9" w:rsidP="000C5335">
      <w:pPr>
        <w:spacing w:after="0" w:line="480" w:lineRule="auto"/>
        <w:contextualSpacing/>
        <w:jc w:val="center"/>
        <w:rPr>
          <w:rFonts w:ascii="Times New Roman" w:hAnsi="Times New Roman" w:cs="Times New Roman"/>
          <w:sz w:val="24"/>
          <w:szCs w:val="24"/>
        </w:rPr>
      </w:pPr>
    </w:p>
    <w:p w:rsidR="00A756D9" w:rsidRDefault="00A756D9" w:rsidP="000C5335">
      <w:pPr>
        <w:spacing w:after="0" w:line="480" w:lineRule="auto"/>
        <w:contextualSpacing/>
        <w:jc w:val="center"/>
        <w:rPr>
          <w:rFonts w:ascii="Times New Roman" w:hAnsi="Times New Roman" w:cs="Times New Roman"/>
          <w:sz w:val="24"/>
          <w:szCs w:val="24"/>
        </w:rPr>
      </w:pPr>
    </w:p>
    <w:p w:rsidR="00A756D9" w:rsidRDefault="00A756D9" w:rsidP="000C5335">
      <w:pPr>
        <w:spacing w:after="0" w:line="480" w:lineRule="auto"/>
        <w:contextualSpacing/>
        <w:jc w:val="center"/>
        <w:rPr>
          <w:rFonts w:ascii="Times New Roman" w:hAnsi="Times New Roman" w:cs="Times New Roman"/>
          <w:sz w:val="24"/>
          <w:szCs w:val="24"/>
        </w:rPr>
      </w:pPr>
    </w:p>
    <w:p w:rsidR="00A756D9" w:rsidRPr="00A756D9" w:rsidRDefault="00A756D9" w:rsidP="000C5335">
      <w:pPr>
        <w:spacing w:after="0" w:line="480" w:lineRule="auto"/>
        <w:ind w:firstLine="720"/>
        <w:contextualSpacing/>
        <w:jc w:val="center"/>
        <w:rPr>
          <w:rFonts w:ascii="Times New Roman" w:hAnsi="Times New Roman" w:cs="Times New Roman"/>
          <w:sz w:val="24"/>
          <w:szCs w:val="24"/>
        </w:rPr>
      </w:pPr>
      <w:r w:rsidRPr="00A756D9">
        <w:rPr>
          <w:rFonts w:ascii="Times New Roman" w:hAnsi="Times New Roman" w:cs="Times New Roman"/>
          <w:sz w:val="24"/>
          <w:szCs w:val="24"/>
        </w:rPr>
        <w:t>Clinical Assignment Coding</w:t>
      </w:r>
    </w:p>
    <w:p w:rsidR="00A756D9" w:rsidRDefault="00A756D9" w:rsidP="000C533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A756D9" w:rsidRDefault="00A756D9" w:rsidP="000C533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A756D9" w:rsidRDefault="00A756D9" w:rsidP="000C5335">
      <w:pPr>
        <w:spacing w:after="0" w:line="480" w:lineRule="auto"/>
        <w:ind w:firstLine="720"/>
        <w:contextualSpacing/>
        <w:jc w:val="center"/>
        <w:rPr>
          <w:rFonts w:ascii="Times New Roman" w:hAnsi="Times New Roman" w:cs="Times New Roman"/>
          <w:sz w:val="24"/>
          <w:szCs w:val="24"/>
        </w:rPr>
      </w:pPr>
    </w:p>
    <w:p w:rsidR="00A756D9" w:rsidRDefault="00A756D9" w:rsidP="000C5335">
      <w:pPr>
        <w:spacing w:after="0" w:line="480" w:lineRule="auto"/>
        <w:ind w:firstLine="720"/>
        <w:contextualSpacing/>
        <w:jc w:val="center"/>
        <w:rPr>
          <w:rFonts w:ascii="Times New Roman" w:hAnsi="Times New Roman" w:cs="Times New Roman"/>
          <w:sz w:val="24"/>
          <w:szCs w:val="24"/>
        </w:rPr>
      </w:pPr>
    </w:p>
    <w:p w:rsidR="00A756D9" w:rsidRDefault="00A756D9" w:rsidP="000C5335">
      <w:pPr>
        <w:spacing w:after="0" w:line="480" w:lineRule="auto"/>
        <w:ind w:firstLine="720"/>
        <w:contextualSpacing/>
        <w:jc w:val="center"/>
        <w:rPr>
          <w:rFonts w:ascii="Times New Roman" w:hAnsi="Times New Roman" w:cs="Times New Roman"/>
          <w:sz w:val="24"/>
          <w:szCs w:val="24"/>
        </w:rPr>
      </w:pPr>
    </w:p>
    <w:p w:rsidR="00A756D9" w:rsidRDefault="00A756D9" w:rsidP="000C5335">
      <w:pPr>
        <w:spacing w:after="0" w:line="480" w:lineRule="auto"/>
        <w:ind w:firstLine="720"/>
        <w:contextualSpacing/>
        <w:jc w:val="center"/>
        <w:rPr>
          <w:rFonts w:ascii="Times New Roman" w:hAnsi="Times New Roman" w:cs="Times New Roman"/>
          <w:sz w:val="24"/>
          <w:szCs w:val="24"/>
        </w:rPr>
      </w:pPr>
    </w:p>
    <w:p w:rsidR="00A756D9" w:rsidRDefault="00A756D9" w:rsidP="000C5335">
      <w:pPr>
        <w:spacing w:after="0" w:line="480" w:lineRule="auto"/>
        <w:ind w:firstLine="720"/>
        <w:contextualSpacing/>
        <w:jc w:val="center"/>
        <w:rPr>
          <w:rFonts w:ascii="Times New Roman" w:hAnsi="Times New Roman" w:cs="Times New Roman"/>
          <w:sz w:val="24"/>
          <w:szCs w:val="24"/>
        </w:rPr>
      </w:pPr>
    </w:p>
    <w:p w:rsidR="00A756D9" w:rsidRDefault="00A756D9" w:rsidP="000C5335">
      <w:pPr>
        <w:spacing w:after="0" w:line="480" w:lineRule="auto"/>
        <w:ind w:firstLine="720"/>
        <w:contextualSpacing/>
        <w:jc w:val="center"/>
        <w:rPr>
          <w:rFonts w:ascii="Times New Roman" w:hAnsi="Times New Roman" w:cs="Times New Roman"/>
          <w:sz w:val="24"/>
          <w:szCs w:val="24"/>
        </w:rPr>
      </w:pPr>
    </w:p>
    <w:p w:rsidR="00A756D9" w:rsidRDefault="00A756D9" w:rsidP="000C5335">
      <w:pPr>
        <w:spacing w:after="0" w:line="480" w:lineRule="auto"/>
        <w:ind w:firstLine="720"/>
        <w:contextualSpacing/>
        <w:jc w:val="center"/>
        <w:rPr>
          <w:rFonts w:ascii="Times New Roman" w:hAnsi="Times New Roman" w:cs="Times New Roman"/>
          <w:sz w:val="24"/>
          <w:szCs w:val="24"/>
        </w:rPr>
      </w:pPr>
    </w:p>
    <w:p w:rsidR="00A756D9" w:rsidRDefault="00A756D9" w:rsidP="000C5335">
      <w:pPr>
        <w:spacing w:after="0" w:line="480" w:lineRule="auto"/>
        <w:ind w:firstLine="720"/>
        <w:contextualSpacing/>
        <w:jc w:val="center"/>
        <w:rPr>
          <w:rFonts w:ascii="Times New Roman" w:hAnsi="Times New Roman" w:cs="Times New Roman"/>
          <w:sz w:val="24"/>
          <w:szCs w:val="24"/>
        </w:rPr>
      </w:pPr>
    </w:p>
    <w:p w:rsidR="000C5335" w:rsidRDefault="000C5335">
      <w:pPr>
        <w:rPr>
          <w:rFonts w:ascii="Times New Roman" w:hAnsi="Times New Roman" w:cs="Times New Roman"/>
          <w:sz w:val="24"/>
          <w:szCs w:val="24"/>
        </w:rPr>
      </w:pPr>
      <w:r>
        <w:rPr>
          <w:rFonts w:ascii="Times New Roman" w:hAnsi="Times New Roman" w:cs="Times New Roman"/>
          <w:sz w:val="24"/>
          <w:szCs w:val="24"/>
        </w:rPr>
        <w:br w:type="page"/>
      </w:r>
    </w:p>
    <w:p w:rsidR="00A756D9" w:rsidRPr="00A756D9" w:rsidRDefault="00A756D9" w:rsidP="000C5335">
      <w:pPr>
        <w:spacing w:after="0" w:line="480" w:lineRule="auto"/>
        <w:ind w:firstLine="720"/>
        <w:contextualSpacing/>
        <w:jc w:val="center"/>
        <w:rPr>
          <w:rFonts w:ascii="Times New Roman" w:hAnsi="Times New Roman" w:cs="Times New Roman"/>
          <w:sz w:val="24"/>
          <w:szCs w:val="24"/>
        </w:rPr>
      </w:pPr>
      <w:bookmarkStart w:id="0" w:name="_GoBack"/>
      <w:bookmarkEnd w:id="0"/>
      <w:r w:rsidRPr="00A756D9">
        <w:rPr>
          <w:rFonts w:ascii="Times New Roman" w:hAnsi="Times New Roman" w:cs="Times New Roman"/>
          <w:sz w:val="24"/>
          <w:szCs w:val="24"/>
        </w:rPr>
        <w:lastRenderedPageBreak/>
        <w:t>Clinical Assignment Coding</w:t>
      </w:r>
    </w:p>
    <w:p w:rsidR="00A756D9" w:rsidRPr="00A756D9" w:rsidRDefault="00A756D9" w:rsidP="000C5335">
      <w:pPr>
        <w:spacing w:after="0" w:line="480" w:lineRule="auto"/>
        <w:contextualSpacing/>
        <w:jc w:val="center"/>
        <w:rPr>
          <w:rFonts w:ascii="Times New Roman" w:hAnsi="Times New Roman" w:cs="Times New Roman"/>
          <w:sz w:val="24"/>
          <w:szCs w:val="24"/>
        </w:rPr>
      </w:pPr>
      <w:r w:rsidRPr="00A756D9">
        <w:rPr>
          <w:rFonts w:ascii="Times New Roman" w:hAnsi="Times New Roman" w:cs="Times New Roman"/>
          <w:sz w:val="24"/>
          <w:szCs w:val="24"/>
        </w:rPr>
        <w:t>Julie Myrick</w:t>
      </w:r>
    </w:p>
    <w:p w:rsidR="00A756D9" w:rsidRPr="00A756D9" w:rsidRDefault="00A756D9" w:rsidP="000C5335">
      <w:pPr>
        <w:spacing w:after="0" w:line="480" w:lineRule="auto"/>
        <w:ind w:firstLine="720"/>
        <w:contextualSpacing/>
        <w:rPr>
          <w:rFonts w:ascii="Times New Roman" w:hAnsi="Times New Roman" w:cs="Times New Roman"/>
          <w:sz w:val="24"/>
          <w:szCs w:val="24"/>
        </w:rPr>
      </w:pPr>
      <w:r w:rsidRPr="00A756D9">
        <w:rPr>
          <w:rFonts w:ascii="Times New Roman" w:hAnsi="Times New Roman" w:cs="Times New Roman"/>
          <w:sz w:val="24"/>
          <w:szCs w:val="24"/>
        </w:rPr>
        <w:t>Schilling test is a procedure done medically to determine whether a person's absorption of vitamin B-12 is sufficient. The doctor considers this test if there is a vitamin B-12 deficiency. The test involves four stages. In the first stage, the doctor gives two prescriptions of vitamin B=12 enhancements containing radiolabeling, which have radioactive elements used to track compounds in the body. The second vitamin B-12 dose is provided as a dose an hour later (Underwood, 2016). They then collect urine samples to test the absorption of vitamin B-12. If the results are abnormal, the doctor performs stage two.</w:t>
      </w:r>
    </w:p>
    <w:p w:rsidR="00A756D9" w:rsidRPr="00A756D9" w:rsidRDefault="00A756D9" w:rsidP="000C5335">
      <w:pPr>
        <w:spacing w:after="0" w:line="480" w:lineRule="auto"/>
        <w:ind w:firstLine="720"/>
        <w:contextualSpacing/>
        <w:rPr>
          <w:rFonts w:ascii="Times New Roman" w:hAnsi="Times New Roman" w:cs="Times New Roman"/>
          <w:sz w:val="24"/>
          <w:szCs w:val="24"/>
        </w:rPr>
      </w:pPr>
      <w:r w:rsidRPr="00A756D9">
        <w:rPr>
          <w:rFonts w:ascii="Times New Roman" w:hAnsi="Times New Roman" w:cs="Times New Roman"/>
          <w:sz w:val="24"/>
          <w:szCs w:val="24"/>
        </w:rPr>
        <w:t xml:space="preserve">On stage 2, the doctor gives another oral sample of radiolabeled vitamin B-12 along with intrinsic factor. The test is administered to indicate whether the absence of an essential element can be the reason why the person has low vitamin B-12 levels. A urine sample is also collected in the next 24 hours (Underwood, 2016). If the patient tests are standard, then it might be they lack intrinsic factor and are likely to have pernicious anemia. If the results continue to be abnormal, the doctor proceeds to stage 3. </w:t>
      </w:r>
    </w:p>
    <w:p w:rsidR="00A756D9" w:rsidRPr="00A756D9" w:rsidRDefault="00A756D9" w:rsidP="000C5335">
      <w:pPr>
        <w:spacing w:after="0" w:line="480" w:lineRule="auto"/>
        <w:ind w:firstLine="720"/>
        <w:contextualSpacing/>
        <w:rPr>
          <w:rFonts w:ascii="Times New Roman" w:hAnsi="Times New Roman" w:cs="Times New Roman"/>
          <w:sz w:val="24"/>
          <w:szCs w:val="24"/>
        </w:rPr>
      </w:pPr>
      <w:r w:rsidRPr="00A756D9">
        <w:rPr>
          <w:rFonts w:ascii="Times New Roman" w:hAnsi="Times New Roman" w:cs="Times New Roman"/>
          <w:sz w:val="24"/>
          <w:szCs w:val="24"/>
        </w:rPr>
        <w:t>On stage 3, they have tests to determine if the abnormal bacterial growth causes love vitamin B-12 levels. The doctor then prescribes a two-week antibiotic course, which, if it tests unusual, they perform stage 4. Stage 4 tests show the doctors if low vitamin B-12 levels cause the problems in the pancreas. Here, they give the patient a three-day pancreatic enzyme course followed by a radiolabeled dose of vitamin B-12 then collect urine samples for testing. For this patient, the results indicated that the size of her red blood cells was slightly abnormal because she was 101, and the schilling test was positive since she had elevated MCV, which showed vitamin B-12 deficiency (Underwood, 2016). The doctor then prescribed vitamin B12 injections, where the patient was required to return in 14 days.</w:t>
      </w:r>
    </w:p>
    <w:p w:rsidR="00A756D9" w:rsidRPr="00A756D9" w:rsidRDefault="00A756D9" w:rsidP="000C5335">
      <w:pPr>
        <w:spacing w:after="0" w:line="480" w:lineRule="auto"/>
        <w:contextualSpacing/>
        <w:jc w:val="center"/>
        <w:rPr>
          <w:rFonts w:ascii="Times New Roman" w:hAnsi="Times New Roman" w:cs="Times New Roman"/>
          <w:sz w:val="24"/>
          <w:szCs w:val="24"/>
        </w:rPr>
      </w:pPr>
      <w:r w:rsidRPr="00A756D9">
        <w:rPr>
          <w:rFonts w:ascii="Times New Roman" w:hAnsi="Times New Roman" w:cs="Times New Roman"/>
          <w:sz w:val="24"/>
          <w:szCs w:val="24"/>
        </w:rPr>
        <w:t>Cameron Arnold</w:t>
      </w:r>
    </w:p>
    <w:p w:rsidR="00A756D9" w:rsidRPr="00A756D9" w:rsidRDefault="00A756D9" w:rsidP="000C5335">
      <w:pPr>
        <w:spacing w:after="0" w:line="480" w:lineRule="auto"/>
        <w:ind w:firstLine="720"/>
        <w:contextualSpacing/>
        <w:rPr>
          <w:rFonts w:ascii="Times New Roman" w:hAnsi="Times New Roman" w:cs="Times New Roman"/>
          <w:sz w:val="24"/>
          <w:szCs w:val="24"/>
        </w:rPr>
      </w:pPr>
      <w:r w:rsidRPr="00A756D9">
        <w:rPr>
          <w:rFonts w:ascii="Times New Roman" w:hAnsi="Times New Roman" w:cs="Times New Roman"/>
          <w:sz w:val="24"/>
          <w:szCs w:val="24"/>
        </w:rPr>
        <w:t xml:space="preserve">For Arnold, the credible laboratory range for average values of hemoglobin is 6.7g/dL, which shows a reasonable range of mean corpuscular volume (MCV) of 71 fl. PT and APTT. From the results, we can state that the two values are on the lower note since she had a normal range (Bush, 2020).  The reason for a lower note is because she only had bruises without any injury, her menstrual periods were more substantial, and the PFH showed no history of family bleeding. The tests were undertaken at 629 Healthcare Way lab. </w:t>
      </w:r>
    </w:p>
    <w:p w:rsidR="00A756D9" w:rsidRPr="00A756D9" w:rsidRDefault="00A756D9" w:rsidP="000C5335">
      <w:pPr>
        <w:spacing w:after="0" w:line="480" w:lineRule="auto"/>
        <w:contextualSpacing/>
        <w:jc w:val="center"/>
        <w:rPr>
          <w:rFonts w:ascii="Times New Roman" w:hAnsi="Times New Roman" w:cs="Times New Roman"/>
          <w:sz w:val="24"/>
          <w:szCs w:val="24"/>
        </w:rPr>
      </w:pPr>
      <w:r w:rsidRPr="00A756D9">
        <w:rPr>
          <w:rFonts w:ascii="Times New Roman" w:hAnsi="Times New Roman" w:cs="Times New Roman"/>
          <w:sz w:val="24"/>
          <w:szCs w:val="24"/>
        </w:rPr>
        <w:t>Bernard Samuels</w:t>
      </w:r>
    </w:p>
    <w:p w:rsidR="009D5A56" w:rsidRDefault="00A756D9" w:rsidP="000C5335">
      <w:pPr>
        <w:spacing w:after="0" w:line="480" w:lineRule="auto"/>
        <w:ind w:firstLine="720"/>
        <w:contextualSpacing/>
        <w:rPr>
          <w:rFonts w:ascii="Times New Roman" w:hAnsi="Times New Roman" w:cs="Times New Roman"/>
          <w:sz w:val="24"/>
          <w:szCs w:val="24"/>
        </w:rPr>
      </w:pPr>
      <w:r w:rsidRPr="00A756D9">
        <w:rPr>
          <w:rFonts w:ascii="Times New Roman" w:hAnsi="Times New Roman" w:cs="Times New Roman"/>
          <w:sz w:val="24"/>
          <w:szCs w:val="24"/>
        </w:rPr>
        <w:t>The general treatment for pneumonia due to E.coli is the administration of antibiotics like the third-generation ceftriaxone. The therapy also requires care and sufficient oxygenation. However, prescriptions should treat E.coli infections mostly in the bladder and other urinary tract infections using trimethoprim and nitrofurantoin, among others. In Bernard's case, the patient had a high fever, myalgia, headache, rhinitis, a non-productive cough, and also showed signs of confusion. After the administration of some drugs, the condition worsened, and the patient had shock, pneumonia, and hypotension, which indicated an acute renal failure. The doctor concluded that it was influenza with pneumonia due to E.coli, septic shock, and also acute renal failure. The ICD 10-CM diagnoses code given under DX include J18.8, J18.2, J18.1, J18.0, and J18.9 (Beckman, 2014)</w:t>
      </w:r>
    </w:p>
    <w:p w:rsidR="00A756D9" w:rsidRDefault="00A756D9" w:rsidP="000C5335">
      <w:pPr>
        <w:spacing w:after="0" w:line="480" w:lineRule="auto"/>
        <w:contextualSpacing/>
        <w:rPr>
          <w:rFonts w:ascii="Times New Roman" w:hAnsi="Times New Roman" w:cs="Times New Roman"/>
          <w:sz w:val="24"/>
          <w:szCs w:val="24"/>
        </w:rPr>
      </w:pPr>
    </w:p>
    <w:p w:rsidR="00A756D9" w:rsidRDefault="00A756D9" w:rsidP="000C53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413E41" w:rsidRPr="009D5A56" w:rsidRDefault="00413E41" w:rsidP="000C5335">
      <w:pPr>
        <w:spacing w:after="0" w:line="480" w:lineRule="auto"/>
        <w:ind w:left="720" w:hanging="720"/>
        <w:contextualSpacing/>
        <w:rPr>
          <w:rFonts w:ascii="Times New Roman" w:hAnsi="Times New Roman" w:cs="Times New Roman"/>
          <w:sz w:val="24"/>
          <w:szCs w:val="24"/>
        </w:rPr>
      </w:pPr>
      <w:r w:rsidRPr="009D5A56">
        <w:rPr>
          <w:rFonts w:ascii="Times New Roman" w:hAnsi="Times New Roman" w:cs="Times New Roman"/>
          <w:sz w:val="24"/>
          <w:szCs w:val="24"/>
        </w:rPr>
        <w:t xml:space="preserve">Beckman K. (2014). Coding Common Respiratory Problems in ICD-10. </w:t>
      </w:r>
      <w:hyperlink r:id="rId8" w:history="1">
        <w:r w:rsidRPr="009D5A56">
          <w:rPr>
            <w:rStyle w:val="Hyperlink"/>
            <w:rFonts w:ascii="Times New Roman" w:hAnsi="Times New Roman" w:cs="Times New Roman"/>
            <w:color w:val="auto"/>
            <w:sz w:val="24"/>
            <w:szCs w:val="24"/>
            <w:u w:val="none"/>
          </w:rPr>
          <w:t>https://www.aafp.org/fpm/2014/1100/p17.html</w:t>
        </w:r>
      </w:hyperlink>
      <w:r w:rsidRPr="009D5A56">
        <w:rPr>
          <w:rFonts w:ascii="Times New Roman" w:hAnsi="Times New Roman" w:cs="Times New Roman"/>
          <w:sz w:val="24"/>
          <w:szCs w:val="24"/>
        </w:rPr>
        <w:t xml:space="preserve"> </w:t>
      </w:r>
    </w:p>
    <w:p w:rsidR="00413E41" w:rsidRPr="009D5A56" w:rsidRDefault="00413E41" w:rsidP="000C5335">
      <w:pPr>
        <w:spacing w:after="0" w:line="480" w:lineRule="auto"/>
        <w:ind w:left="720" w:hanging="720"/>
        <w:contextualSpacing/>
        <w:rPr>
          <w:rFonts w:ascii="Times New Roman" w:hAnsi="Times New Roman" w:cs="Times New Roman"/>
          <w:sz w:val="24"/>
          <w:szCs w:val="24"/>
        </w:rPr>
      </w:pPr>
      <w:r w:rsidRPr="009D5A56">
        <w:rPr>
          <w:rFonts w:ascii="Times New Roman" w:hAnsi="Times New Roman" w:cs="Times New Roman"/>
          <w:sz w:val="24"/>
          <w:szCs w:val="24"/>
        </w:rPr>
        <w:t xml:space="preserve">Bush L. (2020). Escherichia coli Infections. </w:t>
      </w:r>
      <w:hyperlink r:id="rId9" w:history="1">
        <w:r w:rsidRPr="009D5A56">
          <w:rPr>
            <w:rStyle w:val="Hyperlink"/>
            <w:rFonts w:ascii="Times New Roman" w:hAnsi="Times New Roman" w:cs="Times New Roman"/>
            <w:color w:val="auto"/>
            <w:sz w:val="24"/>
            <w:szCs w:val="24"/>
            <w:u w:val="none"/>
          </w:rPr>
          <w:t>https://www.merckmanuals.com/home/infections/bacterial-infections-gram-negative-bacteria/escherichia-coli-infections</w:t>
        </w:r>
      </w:hyperlink>
      <w:r w:rsidRPr="009D5A56">
        <w:rPr>
          <w:rFonts w:ascii="Times New Roman" w:hAnsi="Times New Roman" w:cs="Times New Roman"/>
          <w:sz w:val="24"/>
          <w:szCs w:val="24"/>
        </w:rPr>
        <w:t xml:space="preserve"> </w:t>
      </w:r>
    </w:p>
    <w:p w:rsidR="00A756D9" w:rsidRPr="007B33C7" w:rsidRDefault="00413E41" w:rsidP="000C5335">
      <w:pPr>
        <w:spacing w:after="0" w:line="480" w:lineRule="auto"/>
        <w:ind w:left="720" w:hanging="720"/>
        <w:contextualSpacing/>
        <w:rPr>
          <w:rFonts w:ascii="Times New Roman" w:hAnsi="Times New Roman" w:cs="Times New Roman"/>
          <w:sz w:val="24"/>
          <w:szCs w:val="24"/>
        </w:rPr>
      </w:pPr>
      <w:r w:rsidRPr="009D5A56">
        <w:rPr>
          <w:rFonts w:ascii="Times New Roman" w:hAnsi="Times New Roman" w:cs="Times New Roman"/>
          <w:sz w:val="24"/>
          <w:szCs w:val="24"/>
        </w:rPr>
        <w:t xml:space="preserve">Underwood C. (2016). Schilling Test. </w:t>
      </w:r>
      <w:hyperlink r:id="rId10" w:history="1">
        <w:r w:rsidRPr="009D5A56">
          <w:rPr>
            <w:rStyle w:val="Hyperlink"/>
            <w:rFonts w:ascii="Times New Roman" w:hAnsi="Times New Roman" w:cs="Times New Roman"/>
            <w:color w:val="auto"/>
            <w:sz w:val="24"/>
            <w:szCs w:val="24"/>
            <w:u w:val="none"/>
          </w:rPr>
          <w:t>https://www.healthline.com/health/schilling-test</w:t>
        </w:r>
      </w:hyperlink>
      <w:r w:rsidRPr="009D5A56">
        <w:rPr>
          <w:rFonts w:ascii="Times New Roman" w:hAnsi="Times New Roman" w:cs="Times New Roman"/>
          <w:sz w:val="24"/>
          <w:szCs w:val="24"/>
        </w:rPr>
        <w:t xml:space="preserve"> </w:t>
      </w:r>
    </w:p>
    <w:p w:rsidR="00A756D9" w:rsidRPr="00A756D9" w:rsidRDefault="00A756D9" w:rsidP="000C5335">
      <w:pPr>
        <w:spacing w:after="0" w:line="480" w:lineRule="auto"/>
        <w:contextualSpacing/>
      </w:pPr>
    </w:p>
    <w:sectPr w:rsidR="00A756D9" w:rsidRPr="00A756D9" w:rsidSect="00A756D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81F" w:rsidRDefault="00B0781F" w:rsidP="00A756D9">
      <w:pPr>
        <w:spacing w:after="0" w:line="240" w:lineRule="auto"/>
      </w:pPr>
      <w:r>
        <w:separator/>
      </w:r>
    </w:p>
  </w:endnote>
  <w:endnote w:type="continuationSeparator" w:id="0">
    <w:p w:rsidR="00B0781F" w:rsidRDefault="00B0781F" w:rsidP="00A75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81F" w:rsidRDefault="00B0781F" w:rsidP="00A756D9">
      <w:pPr>
        <w:spacing w:after="0" w:line="240" w:lineRule="auto"/>
      </w:pPr>
      <w:r>
        <w:separator/>
      </w:r>
    </w:p>
  </w:footnote>
  <w:footnote w:type="continuationSeparator" w:id="0">
    <w:p w:rsidR="00B0781F" w:rsidRDefault="00B0781F" w:rsidP="00A75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863676"/>
      <w:docPartObj>
        <w:docPartGallery w:val="Page Numbers (Top of Page)"/>
        <w:docPartUnique/>
      </w:docPartObj>
    </w:sdtPr>
    <w:sdtEndPr>
      <w:rPr>
        <w:noProof/>
      </w:rPr>
    </w:sdtEndPr>
    <w:sdtContent>
      <w:p w:rsidR="00A756D9" w:rsidRDefault="00A756D9" w:rsidP="00A756D9">
        <w:pPr>
          <w:pStyle w:val="Header"/>
          <w:jc w:val="right"/>
        </w:pPr>
        <w:r w:rsidRPr="00A756D9">
          <w:rPr>
            <w:rFonts w:ascii="Times New Roman" w:hAnsi="Times New Roman" w:cs="Times New Roman"/>
            <w:sz w:val="24"/>
            <w:szCs w:val="24"/>
          </w:rPr>
          <w:t xml:space="preserve">CLINICAL ASSIGNMENT CODING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0C5335">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6D9" w:rsidRPr="00A756D9" w:rsidRDefault="00A756D9" w:rsidP="00A756D9">
    <w:pPr>
      <w:pStyle w:val="Header"/>
      <w:spacing w:line="480" w:lineRule="auto"/>
      <w:jc w:val="right"/>
      <w:rPr>
        <w:rFonts w:ascii="Times New Roman" w:hAnsi="Times New Roman" w:cs="Times New Roman"/>
        <w:sz w:val="24"/>
        <w:szCs w:val="24"/>
      </w:rPr>
    </w:pPr>
    <w:r w:rsidRPr="00A756D9">
      <w:rPr>
        <w:rFonts w:ascii="Times New Roman" w:hAnsi="Times New Roman" w:cs="Times New Roman"/>
        <w:sz w:val="24"/>
        <w:szCs w:val="24"/>
      </w:rPr>
      <w:t xml:space="preserve">Running head: CLINICAL ASSIGNMENT CODING </w:t>
    </w:r>
    <w:r w:rsidRPr="00A756D9">
      <w:rPr>
        <w:rFonts w:ascii="Times New Roman" w:hAnsi="Times New Roman" w:cs="Times New Roman"/>
        <w:sz w:val="24"/>
        <w:szCs w:val="24"/>
      </w:rPr>
      <w:tab/>
    </w:r>
    <w:sdt>
      <w:sdtPr>
        <w:rPr>
          <w:rFonts w:ascii="Times New Roman" w:hAnsi="Times New Roman" w:cs="Times New Roman"/>
          <w:sz w:val="24"/>
          <w:szCs w:val="24"/>
        </w:rPr>
        <w:id w:val="328180760"/>
        <w:docPartObj>
          <w:docPartGallery w:val="Page Numbers (Top of Page)"/>
          <w:docPartUnique/>
        </w:docPartObj>
      </w:sdtPr>
      <w:sdtEndPr>
        <w:rPr>
          <w:noProof/>
        </w:rPr>
      </w:sdtEndPr>
      <w:sdtContent>
        <w:r w:rsidRPr="00A756D9">
          <w:rPr>
            <w:rFonts w:ascii="Times New Roman" w:hAnsi="Times New Roman" w:cs="Times New Roman"/>
            <w:sz w:val="24"/>
            <w:szCs w:val="24"/>
          </w:rPr>
          <w:fldChar w:fldCharType="begin"/>
        </w:r>
        <w:r w:rsidRPr="00A756D9">
          <w:rPr>
            <w:rFonts w:ascii="Times New Roman" w:hAnsi="Times New Roman" w:cs="Times New Roman"/>
            <w:sz w:val="24"/>
            <w:szCs w:val="24"/>
          </w:rPr>
          <w:instrText xml:space="preserve"> PAGE   \* MERGEFORMAT </w:instrText>
        </w:r>
        <w:r w:rsidRPr="00A756D9">
          <w:rPr>
            <w:rFonts w:ascii="Times New Roman" w:hAnsi="Times New Roman" w:cs="Times New Roman"/>
            <w:sz w:val="24"/>
            <w:szCs w:val="24"/>
          </w:rPr>
          <w:fldChar w:fldCharType="separate"/>
        </w:r>
        <w:r w:rsidR="00B0781F">
          <w:rPr>
            <w:rFonts w:ascii="Times New Roman" w:hAnsi="Times New Roman" w:cs="Times New Roman"/>
            <w:noProof/>
            <w:sz w:val="24"/>
            <w:szCs w:val="24"/>
          </w:rPr>
          <w:t>1</w:t>
        </w:r>
        <w:r w:rsidRPr="00A756D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1D0"/>
    <w:rsid w:val="00053E76"/>
    <w:rsid w:val="00062374"/>
    <w:rsid w:val="000907DA"/>
    <w:rsid w:val="000C147B"/>
    <w:rsid w:val="000C5335"/>
    <w:rsid w:val="001D01D0"/>
    <w:rsid w:val="00257B3D"/>
    <w:rsid w:val="002642D2"/>
    <w:rsid w:val="0029056E"/>
    <w:rsid w:val="00346ACF"/>
    <w:rsid w:val="00413E41"/>
    <w:rsid w:val="00456123"/>
    <w:rsid w:val="00504217"/>
    <w:rsid w:val="005871A9"/>
    <w:rsid w:val="005F1896"/>
    <w:rsid w:val="006717C9"/>
    <w:rsid w:val="00681ABD"/>
    <w:rsid w:val="006F62E7"/>
    <w:rsid w:val="00723436"/>
    <w:rsid w:val="00780749"/>
    <w:rsid w:val="007B33C7"/>
    <w:rsid w:val="008412FB"/>
    <w:rsid w:val="00904DD5"/>
    <w:rsid w:val="009117A5"/>
    <w:rsid w:val="009D5A56"/>
    <w:rsid w:val="00A756D9"/>
    <w:rsid w:val="00B0781F"/>
    <w:rsid w:val="00BF01A2"/>
    <w:rsid w:val="00C206A8"/>
    <w:rsid w:val="00D01830"/>
    <w:rsid w:val="00EC6FAC"/>
    <w:rsid w:val="00EC7100"/>
    <w:rsid w:val="00F05C27"/>
    <w:rsid w:val="00F30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5A56"/>
    <w:rPr>
      <w:color w:val="0000FF"/>
      <w:u w:val="single"/>
    </w:rPr>
  </w:style>
  <w:style w:type="paragraph" w:styleId="Header">
    <w:name w:val="header"/>
    <w:basedOn w:val="Normal"/>
    <w:link w:val="HeaderChar"/>
    <w:uiPriority w:val="99"/>
    <w:unhideWhenUsed/>
    <w:rsid w:val="00A75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6D9"/>
  </w:style>
  <w:style w:type="paragraph" w:styleId="Footer">
    <w:name w:val="footer"/>
    <w:basedOn w:val="Normal"/>
    <w:link w:val="FooterChar"/>
    <w:uiPriority w:val="99"/>
    <w:unhideWhenUsed/>
    <w:rsid w:val="00A75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6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5A56"/>
    <w:rPr>
      <w:color w:val="0000FF"/>
      <w:u w:val="single"/>
    </w:rPr>
  </w:style>
  <w:style w:type="paragraph" w:styleId="Header">
    <w:name w:val="header"/>
    <w:basedOn w:val="Normal"/>
    <w:link w:val="HeaderChar"/>
    <w:uiPriority w:val="99"/>
    <w:unhideWhenUsed/>
    <w:rsid w:val="00A75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6D9"/>
  </w:style>
  <w:style w:type="paragraph" w:styleId="Footer">
    <w:name w:val="footer"/>
    <w:basedOn w:val="Normal"/>
    <w:link w:val="FooterChar"/>
    <w:uiPriority w:val="99"/>
    <w:unhideWhenUsed/>
    <w:rsid w:val="00A75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fp.org/fpm/2014/1100/p17.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healthline.com/health/schilling-test" TargetMode="External"/><Relationship Id="rId4" Type="http://schemas.openxmlformats.org/officeDocument/2006/relationships/settings" Target="settings.xml"/><Relationship Id="rId9" Type="http://schemas.openxmlformats.org/officeDocument/2006/relationships/hyperlink" Target="https://www.merckmanuals.com/home/infections/bacterial-infections-gram-negative-bacteria/escherichia-coli-infect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7616F-659D-470C-8BF3-A98AE437C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2020-03-13T06:23:00Z</dcterms:created>
  <dcterms:modified xsi:type="dcterms:W3CDTF">2020-03-13T06:23:00Z</dcterms:modified>
</cp:coreProperties>
</file>